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Backed by 11+ years of expertise in backend systems engineering with a focus on Rust, C++, Go, and cryptography. Proven ability in designing high-performance systems, including Central Limit Order Books and risk management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hybrid exchange engine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match execution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settlement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high-frequency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Central Limit Order 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(CLOB) achieving sub-millisecond latency with off-chain logic and on-chain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risk management engine that instantly liquidates positions using cryptographic proofs under high network congestion.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security protocols, focusing on self-custody and order book integrity against adversarial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optimization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concurrency patterns for high-frequency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implement a comprehensive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prioritizing memory optimization and lock-free data structures for systems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crucial components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Trust Bridge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off-chain matches are verifiable through cryptographic proofs.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integrating advanced logging and monitoring tools to ensure uptime and reliability 24/7.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security compliance, focusing on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cryptography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focused on architectural scalability and robustness of trading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distributed architectures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several junior developers, improving team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system architecture, and secure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trading platforms, ensuring compliance with regulatory standards while enhancing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patterns and event-driven architecture to improve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align system capabilities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system performance by optimizing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latency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initiatives to improve code maintainability and automation of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ensure system stability and reduce regression errors during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core backend system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for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to migrate legacy systems to newer architectures,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interacting with third-party services, ensuring secure data transfer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code quality and reduce deployment risks through CI/CD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risk management tools,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that improved operational efficiency, reducing average process times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Go, Java,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TensorFlow, Solidity, Spring,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Hybrid Systems, Blockchain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Cryptography</w:t>
      </w:r>
      <w:r>
        <w:rPr>
          <w:rFonts w:asciiTheme="minorHAnsi" w:hAnsiTheme="minorHAnsi" w:cstheme="majorHAnsi"/>
          <w:lang w:val="en-US"/>
        </w:rPr>
        <w:t xml:space="preserve">: JWT, OAuth, SSL, Hashing Algorithms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