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scalable applications. Proficient in TypeScript, Node.js, and AWS technologies. Expertise in microservices, REST APIs, and NoSQL databases, poised to contribute to innovative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architecture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Hono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deployment strategies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AI services, enhancing core functionalities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features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communication for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deliver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maintained code quality through comprehensive testing and peer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technology roadmap initiatives to align product vision with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system architecture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database management and backend development techniques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deployment strategies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workflows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performance optimization efforts at the application layer.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strategies for seamless integration and delivery,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interaction with responsive front-end components using </w:t>
      </w:r>
      <w:r w:rsidRPr="00432203">
        <w:rPr>
          <w:rFonts w:asciiTheme="minorHAnsi" w:eastAsia="Times New Roman" w:hAnsiTheme="minorHAnsi" w:cs="Times New Roman"/>
          <w:b/>
          <w:bCs/>
          <w:lang w:val="en-US"/>
        </w:rPr>
        <w:t xml:space="preserve">Vue3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application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frameworks, enhancing application capabilities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transmission between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efforts to resolve software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through documentation and participation in tech discussions.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Hono, Express.js, Vue3, Cordova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AWS RDS, AWS S3,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Capacitor, Cordova, React Native, Swift, Flutter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 Mocha, Chai,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