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designing cloud-based infrastructures and AI-native solutions. Expertise in AWS, Kafka, and multi-region databases for fintech applications. Proven history in collaborating with Tier 1 banks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enterprise clients,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ownership,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multi-region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Tier 1 bank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production-ready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tailored for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provision resources efficiently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testing protocols to ensure high standards of security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cloud architecture,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business needs into technical specifications and scalable architectural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improve system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improved response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caching and NoSQL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engineering projects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proposed infrastructure improvements that directly impacted client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a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reliability and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solutions, fostering strong client relationships.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significantly enhancing processing speeds for financial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compliance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our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technological innovations with industry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 for project direction.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reduce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recommended enhancements based on metrics gathered.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fellow engineers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improving team efficiency and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Terraform,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PCI DSS, ISO27001, SOC2, GDPR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