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data warehousing and ETL processes. Proficient in Snowflake, Matillion, Python, and AWS, driving impactful data solutions and architecture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models and ETL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Matillion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cloud-based data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data integration strategies, improving data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processing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to ensure data pipeline accuracy and integrity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compliance protocols to safeguard sensitive data in transit and at rest.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reducing processing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data architectures, ETL workflows, and data governance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data engineering strategies to stakeholders, driving consensus for project priorities and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data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cost reductions and operational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(CI/CD) of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ETL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Matillion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ingestion from multiple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provide clean datasets for analytical modeling and AI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best practices for scalable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relational databases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data quality standards and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data pipeline efficiency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governance standards across teams to ensure compliance with data privacy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technical documentation of ETL processes and data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ingestion pipelines and supported data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optimizing data storage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data systems, ensuring minimal impact on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cross-departmental data initiatives by delivering actionable insights based on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align data strategies with business requirements, improving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routine data processing tasks, reducing manual workloads by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ETL</w:t>
      </w:r>
      <w:r>
        <w:rPr>
          <w:rFonts w:asciiTheme="minorHAnsi" w:hAnsiTheme="minorHAnsi" w:cstheme="majorHAnsi"/>
          <w:lang w:val="en-US"/>
        </w:rPr>
        <w:t xml:space="preserve">: Snowflake, Matillion, AWS, Redshift,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Architecture</w:t>
      </w:r>
      <w:r>
        <w:rPr>
          <w:rFonts w:asciiTheme="minorHAnsi" w:hAnsiTheme="minorHAnsi" w:cstheme="majorHAnsi"/>
          <w:lang w:val="en-US"/>
        </w:rPr>
        <w:t xml:space="preserve">: Data Architecture, Data Modeling, ETL Processes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