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architecting end-to-end AI solutions and deploying advanced machine learning models. Proven expertise in defining data architecture, ensuring data quality, and integrating AI models into enterprise systems. Skilled in utilizing frameworks and platforms including TensorFlow, PyTorch, AWS SageMaker, and more to drive innovative solutions across various sectors, particularly government entities. Committed to ethical standards in AI deployment and continuous improvement through research and prototyping, delivering high-quality, scalable AI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of data architectures for AI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SageMaker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engineers to assure data integrity and governance, emphasizing accessibility and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end-to-end AI systems, ensuring compatibility with enterprise applications and existing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model performance across diverse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performance evaluations and recommended enhancements for accuracy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business leaders to uncover AI opportunities and translated technical requirements into actionable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architectural decisions to stakeholders, facilitating understanding and buy-in for advanced AI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Supervised the integration of AI models with APIs and legacy systems, ensuring seamless operational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new AI techniques through prototyping and testing, assessing feasibility, thus driving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modeling and analytics, leading workshops to engage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bias mitigation strategies to meet organizational policies regarding ethics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comprehensive AI/ML frameworks, accelerating the solution delivery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R&amp;D to foresee emerging AI technologies and adapted current pipelines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enrich AI project proposals focusing on impactful government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solutions using database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effective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models were integrated smoothly with existing systems via REST APIs, reinforcing system robustness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AI frameworks, fostering a culture of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quality and maintaining project integrity during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machine learning models by incorporating feedback loops and iterative testing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AI capabilities into enterprise software solutions, ensuring operational efficiency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Anaconda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science environments, facilitating easier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proposal development that highlighted AI advancements for client engagements in government sectors, showcasing the potential for revolutionizing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statistical analysis and data manipulation, capitalizing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deeper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deployed AI artifacts leading to a 30% improvement in workflow automations across client engagements.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R,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OpenCV, Natural Language Processing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ML, GCP, Amazon SageMaker,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Eclipse, Anaconda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