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specializing in AI/ML systems, computer vision, and OCR. Proven expertise in architecting and deploying solutions that prioritize safety and efficiency using tools like TensorFlow, OpenCV, and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AI/ML architecture for safety-critical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Lockout/Tagout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technical approaches including vision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hybrid architectures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OCR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measurement frameworks to iteratively deliver and improve system performance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collaborations to align technical recommendations with safety and production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and quality assurance to meet safety-critical standards during system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balancing accuracy with production constraints, accelerating deployment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containerization and orchestration of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machine learning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architectural decisions to stakeholders, ensuring alignment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processing efficiency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high code quality and safety compliance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AI models for document interpretation and data extraction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practices to foster technical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system features boosting performance and reliability in production environments,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testing frameworks to ensure robustness of AI solutions while adhering to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drive feature priorities and project timelines,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prototypes and proof-of-concept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with domain experts to refine system architectures and enhance functionality.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features to improve internal tools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modernization of legacy systems, ensuring compatibility with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to ensure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external APIs for system enhancements and new feature implementations.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best practices and improve overall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code coverage in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OpenCV, scikit-learn, spaCy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Anaconda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