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Website Developer skilled in utilizing an array of modern technologies to create user-friendly digital solutions that enhance customer engagement within the tax industry. Committed to delivering high-quality software in collaboration with cross-functional teams, promoting diversity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Bootstrap, jQuery, SASS,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Ruby on Rails, PHP, ASP.NET,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Git, GitHub,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during tax season.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digital marketplace for tax tools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backend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improved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optimize the user journey on tax filing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which improved scalability and resource allocation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conducted code reviews that improved team performance and code quality using Agile methodologies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financial data analysis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real-time data fetching for users and improving customer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storage, optimizing query performance for customer data retrieval in real-time systems related to tax computations.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user sessions securely, ensuring compliance with financial regulations regarding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for educational content surrounding tax filing, improving content delivery and user experience on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CMS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easy updates and management for non-technical team members, which decreased operational delays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align digital strategies with customer needs, utilizing data-driven insights to steer development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ongoing project updates and technical roadblocks to stakeholders, effectively translating complex technical issues into comprehensible language.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interactive check-out solutions for tax-related products that increased conversion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UI functionality of tax applications across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performance through image optimization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CDN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leading to a 60% improvement in load times for internet users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and integrated third-party APIs for tax refund tracking enhancements, improving customer transparency during the filing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hosting services for improved data handling and lower latency, facilitating faster user access to online tax submissions.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optimizing project workflows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requirements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caching strategies, significantly improving access times for frequently requested data during tax revenue spikes.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reusable component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standardized the UI across all tax application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for tax account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legacy support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transitioning to modern web structures, ensuring data integrity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migrations from older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schemas for new application structures that stimulate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browser compatibility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decrease in cross-browser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e-mail marketing automation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guide users through their filing processes, effectively improving user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using analytical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product improvements and user interface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refactoring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integration with existing tax processing components, yielding a 25%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emerging technologies, fostering a culture of learning and innovation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