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Developer with over 8 years of experience specializing in creating intuitive and engaging user interfaces and experiences. Proven expertise in wireframing, responsive design, and web accessibility standards. Adept at collaborating within cross-functional teams to elevate product functionality and aesthetics using a comprehensive tech stack.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 (ES6+), React, Angular, Vue.js, SASS, SCSS,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Hotjar,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Design Sprints, REST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Web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Jest,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performance to adhere to WCAG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elevating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wireframes and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significantly lower design-to-development handoff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mobile and desktop platforms for a diverse range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front-end performance tuning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client-side caching strategies, enhancing load times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sprint planning and design sprints to align development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streamlined data management and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efficient workflow and code quality by implementing pull request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critiques and user testing sessions to gather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engagement and iterate designs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accessibility compliance standards, fostering an inclusive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with cross-functional teams, ensuring alignment of user experience designs with technical feasibility and branding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style guides for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onboarding and consistency in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states efficiently, leading to a reduction in unnecessary re-renders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workshops focused on enhancing user experience and accessibility, staying updated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integrating updates into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with component-driven architecture and live data binding.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user interfaces, ensuring robust data exchange and presentation layer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wireframing and prototyping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 intent with developer implementation to prevent scope creep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that improved collaboration and minimized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user testing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feedback that led to an optimization of drop-off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design specifications to achieve responsiveness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 is user-friendly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deployments while ensuring adherence to performance benchmarks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API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for project management, enhancing transparency and team communication to increase productivity in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patterns to improve reusability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create high-fidelity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the concept-to-design process and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front-end specifications and coding guidelines, improving knowledge sharing within the team and leading to a 15% reduction in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payloads, enhancing features such as user authentication and session management.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site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performance enhancements that benefited overall site engagement and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upholding quality standards in the implementation of components across various applications, reinforcing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into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trends, contributing to ongoing educational resources for the team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and methodologies to optimize front-end operations and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