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Engineer with over 8 years of experience in designing, building, and scaling complex web applications. Expert in modern JavaScript and TypeScript with a strong background in leading technical direction and mentoring teams. Proven ability to drive architectural decision-making and improve performance across web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Node.js, Express.js,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CircleCI,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Image Optimization, Lazy Loading, Code Splitting, Asynchronous Programming,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Native Web Audio API, hls.js, WebRTC, HTML5, AudioWorklet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the architectural framework for web applications, ensuring scalability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6 engineers, fostering a culture of code quality through rigorous code reviews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techniques, including lazy loading and image optimization, resulting in a 30% improvement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translate requirements into robust technical solutions, enhancing user experience on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modernization efforts of the technology stack by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deployment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development of RESTful APIs and collaborated on GraphQL implementations with efficient data fetching solutions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prioritized backlog of work, promoting continuous improvement in technical health and project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audio streaming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Native Web Audio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fidelity multimedia functionalities across our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technical discussions to align engineering initiatives with company goals, resulting in stronger interdepartmental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adopting cloud services, migrating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to enhance application performance and reduce server load, leveraging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achieved reusability and consistency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profiling tools to diagnose bottlenecks, providing actionable insights that decreased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in Agile methodologies, ensuring iterative delivery and quick adaptation to changes in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performance through efficient frameworks and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web applications, emphasizing responsiveness and performance with components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database architecture, ensuring data integrity and optimizing queries for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and delivery of code changes, enhancing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APIs, ensuring robust backend support for web applications and adherence to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enforced coding standards to uphold high quality in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development of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frameworks to ensure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functionalities and introduced enhancements in user experience through adaptive techniques and real-time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building robust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contributed to sprint planning, enhancing project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validation and security in user account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to support mobile applications, ensuring data interchange formats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optimization for bandwidth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adoption of code versioning practices and promoted collaborative development in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efforts of legacy systems to current standards, ensuring legacy code integrity was maintained while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conducting thorough code audits and implementing OWASP top 10 security measures within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improving technical references for both developers and stakeholders, fostering better code comprehension.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