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Staff Software Engineer with extensive experience in designing and implementing advanced, data-driven systems in fast-paced start-up environments. Proven ability to architect scalable solutions that effectively identify and mitigate financial crime risk, employing a keen understanding of fraud typologies and leveraging cutting-edge technologies like AI and blockchain. Strong leadership skills, with a commitment to driving innovation and operational excellence in collaborative teams across diverse geographic regions.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Node.js,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HTML, CSS,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NoSQL,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 Startup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an AI-powered chatbot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remittance transactions, improving customer experience with a 35%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data-driven insights and fraud detection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trends in fraudulent transactions, which enhanced the detection rate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seamless integration of financial services across diverse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WhatsApp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queries and indexing that resulted in a 25% performance improvement for financial records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significantly enhancing our ability to monitor and respond to potential fraudulent activities instantly.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for analysis of cross-border payment activities, facilitating better risk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measures to safeguard sensitive financial data, ensuring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development cycle and maintaining high-quality deployment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robustness and security of the fraud prevention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coding, system architecture, and fraud risk assessment methodologies,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leadership to define technical roadmaps and set goals for fraud prevention measures, ensuring alignment with the company’s mission to empower underserved communities.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in immersive feedback loops to refine features and deliver innovative solutions that exceeded customer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design and deploy scalable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responsiveness and accessibility for financial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predict fraud patterns, successfully decreasing false positives in transaction monitoring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services that integrated with third-party applications, enhancing the functionality of payment systems via secure protocols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and effective data storage solutions that optimized payment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sprint planning meetings, ensuring alignment on deliverables while maintaining focus on priority features that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system functionalities, ensuring robust software performance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in project deployment cycles, reducing deployment time by over 50% while increasing the stability of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in traditional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that led to a significant increase in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for authentication and payment processing using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metrics through rigorous code review and optimization strategies, leading to a 20%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DevOps initiative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management, which improved deployment efficiency and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align the technical specifications with business objectives, contributing to an agile project management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workflow processes to improve knowledge sharing and onboarding of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