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level engineer with extensive experience in building scalable frontend applications to enhance user experience in various domains. Proficient in React, TypeScript, and key backend integrations, with a strong focus on architectural best practices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Remix, TypeScript,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AWS, Datadog, S3,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PagerDuty, Sentry, Docker,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Systems, Component Libraries, Accessibility, User-Centered Design,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Fargate, ECS,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innovative patient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proof-of-concept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conversational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revolutionize patient interaction workflows, facilitating seamless care journey guidance.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reusable component patterns and establish accessibility practices that drove a measurable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focused on responsiveness and cross-device compatibility, utilizing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frontend coding standards that resulted in a 30% decrease in technical debt across multiple teams, fostering a culture of excellence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reliability, significantly reducing incident response times and improving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guided junior engineers in best practices for writing maintainable and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thereby elevating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deployments that reduced time to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microservices architecture within AWS with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patient application performance through extensive profiling and tuning, improving load times by 50% through clever state management and code splitting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mid-level engineers and facilitated knowledge-sharing sessions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vision across the organization by participating in quarterly strategy meetings, contributing to product roadmaps and aligning technical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analytics data to inform frontend feature development, enhancing the product based on real-world usage patterns and pain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complex user requirements in high-paced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ensure the technical feasibility of UI/UX designs, leading to improved user satisfaction scores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efficiently across multiple components and 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design and implement REST APIs and GraphQL interfaces, ensuring consistent and reliable data flow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minimize regression issues, resulting in a 25% reduction in bugs reported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deliver incremental improvements through sprints, consistently achieving sprint goals and delivering high-value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ensure adherence to best practices and component library standards, helping maintain a high-quality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security-centric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user security and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 optimization projects that improved application usability and accessibility standards, ensuring compliance with WCAG 2.1.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performance enhancements and maintaining responsiveness across various devices and browsers.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