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developing distributed systems and machine learning applications, particularly in Java environments. Proficient in leveraging advanced AI technologies to enhance data analytics solutions across multiple platforms, aligning software architecture with business objectives and operational excellence. Proven track record of optimizing process efficiencies while fostering collaboration across global teams to drive product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 Scala,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Keras,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Distributed Systems:</w:t>
      </w:r>
      <w:r w:rsidRPr="00C3688B">
        <w:rPr>
          <w:rFonts w:ascii="Arial" w:hAnsi="Arial" w:cs="Arial"/>
          <w:color w:val="424242" w:themeColor="text1" w:themeShade="BF"/>
          <w:sz w:val="20"/>
          <w:szCs w:val="20"/>
        </w:rPr>
        <w:t xml:space="preserve"> Hadoop, Apache Kafka, Apache Pulsar,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Apache Spark, Flask,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CircleCI, GitLab CI, Docker Hub, AWS CodePipeline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data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exceeding scalability requirements for cloud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machine learning solutions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predictive analytics for real-time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natural language processing algorithms to streamline data discovery in </w:t>
      </w:r>
      <w:r w:rsidRPr="00C3688B">
        <w:rPr>
          <w:rFonts w:ascii="Arial" w:hAnsi="Arial" w:cs="Arial"/>
          <w:b/>
          <w:color w:val="424242" w:themeColor="text1" w:themeShade="BF"/>
          <w:sz w:val="20"/>
          <w:szCs w:val="20"/>
        </w:rPr>
        <w:t xml:space="preserve">Starburst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 platform, enhancing user interaction with large datasets using SQL queries and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distributed data systems using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operational efficiency and reducing processing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components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microservices in both </w:t>
      </w:r>
      <w:r w:rsidRPr="00C3688B">
        <w:rPr>
          <w:rFonts w:ascii="Arial" w:hAnsi="Arial" w:cs="Arial"/>
          <w:b/>
          <w:color w:val="424242" w:themeColor="text1" w:themeShade="BF"/>
          <w:sz w:val="20"/>
          <w:szCs w:val="20"/>
        </w:rPr>
        <w:t xml:space="preserve">Starburst Enterprise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Starburst Galaxy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cloud-native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maintaining robust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data scientists to refine AI architectures, resulting in a unified product-agnostic approach applied across all company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software reliability and maintainability, achieving a defect rate reduction of 25% year-over-year.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continuous integration and deployment, employing tools such as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release processes and improve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and distributed systems design, fostering a culture of knowledge sharing and technical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setting architectural standards and coding guidelines that improved overall code quality and team productivity in software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tuning strategies for database interactions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transparency, and timely delivery of product increments.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and conducted peer code reviews, ensuring compliance with software engineering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distributed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microservices architecture for enhanced system modularity.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data-driven projects that utilized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batch processing and real-time analytics, significantly improving data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machine learning algorithms with frameworks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processing workflows and create predictive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software solutions that improved business outcomes and enhanced data accessibility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coding standards for Java-based solutions which improved codebase maintainability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between various platforms, ensuring efficient communication and resource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which allowed for consistent environments across development,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initiatives to modernize existing applications for cloud deployment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 infrastructure as code.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 services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infrastructure and system architectures to support scalable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enhancing user authentication systems through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API integrations across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software reliability and reduced bug rates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monolithic applications into microservices-based architecture, improving deployment cycles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profile and optimize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execution time and resource consumption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to align junior staff with technical skills necessary for developing data-centric applications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data storage solutions using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high-availability and scalability challenges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discussions concerning solutions architecture, focusing on distributed computational frameworks and data governance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