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7 years of specialization in frontend architecture, delivering high-quality solutions and mentoring teams. Proven expertise in optimizing performance and implementing robust design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Ember,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PHP, Laravel,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Docker, Kubernetes, AWS Cloud,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Design Systems, Modular Patterns, API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Leadership, Mentorship, Clear Communication, Problem-Solving, Stakeholder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the frontend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defining best practices for maintainability and performance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evolved a comprehensive design system that ensured consistency across client-facing applications, resulting in a unified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integrations, enhancing the frontend's performance through efficient API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Tackled complex performance challenges by optimizing rendering paths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load time for key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hands-on technical leadership initiatives, diving into the codebase to resolve critical issues and implement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group of product engineers on architectural design principles, instilling a culture of excellence and fostering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patterns and strategies for continuous improvement,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product vision and technical capabilities, ensuring the adherence of frontend components to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evolution of front-end development processes, integrating industry trends with established workflows to elevate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trust with stakeholders through clear communication of technical strategies and a data-driven decision-making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best practices in frontend development,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metrics and KPIs to monitor system performance, providing actionable insights for frontend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efficient retrieval processes, improving the responsiveness of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initiatives for significant releases, utilizing feedback to refine and enhance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organization in driving adoption of the design system, reducing redundancy in development efforts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interactive and dynamic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swift data transactions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methodologies,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existing applications, focusing on improving page load speeds by 25% through advanced caching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while ensuring adherence to best coding practices and architectural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enhancements in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efforts in enhancing documentation practices, contributing to better knowledge transfer and project continuity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the software development lifecycle, improving release timelines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measures across various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translate creative concepts into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integrations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implementing lazy loading and code 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meetings to align technical strategies with business objectives, contributing to coherent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on application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providing guidance on best practices in frontend development and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and frameworks to enhance the development pipeline, focusing on reducing time-to-market for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