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and efficient web applications in high-demand environments. Proven expertise in modern web technologies, backed by a passion for enhancing user experiences and driving product innovation. Adept at working collaboratively in remote teams and committed to leveraging technology for social change in the cannabis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Gulp,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 Architecture, CI/CD Pipelines,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responsive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and improving user engagement by 30%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and back-end systems, enhancing scalability and maintainable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 and S3 storage for deploying applications, resulting in a 40% reduction in operational costs while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streamlining deployment processes, and ensuring consistent environments across multiple stages of testing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collaborative pair programming sessions to uphold high standards of code quality and foster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Agile methodologies, leading daily stand-ups and sprint planning sessions to ensure timely delivery of software features that enhance customer interactions with dispensaries.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data fetching logic, resulting in faster page rendering and a 20% improvement in performance metrics for core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reliability, dramatically reducing post-deployment issues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front-end architecture initiatives, promoting reusability of components and modular design patterns that accelerated development cycles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practices,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and application performance optimization techniques,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aesthetically pleasing and user-centric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systems by refactoring legacy code,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maintainability and reduce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communication between engineering and operations teams to align engineering development goals with company objectives for market competitiveness.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community-driven open-source projects in the cannabis technology space, promoting social impact and engagement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streamlined processes for a number of high-traffic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web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retrieval, which improved loading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a repository structure that streamlined collaboration between developers and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 responses, achieving an increase in test coverage and quality assurance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APIs which improved product feature offerings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tools such as Trello and JIRA for tracking development progress and optimizing sprint performance, leading to enhanced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sharing insights on improving code efficiency and increasing system robustness. Added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support for complex queries, yielding a 15% performance boost.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enhancing data security and user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with build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task runners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collaborative projects that elevated performance metrics in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improving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dramatic decrease in system load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discussions to gather requirements, ensuring project deliverables aligned with user expectations through precise technical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