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delivering enterprise-level solutions, focusing on scalable front-end architectures and AI integrations. Proven ability to lead cross-functional teams, crafting secure, high-performance applications while driving adoption of modern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Tailwind CSS,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Git, Webpack, Docker,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AI Workflows, Retrieval-Augmented Generation (RAG)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AI-driven applications,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widgets for enterprise-level applications, contributing to company-wide design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standardize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authentication 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while maintaining usability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improving the development process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streamlining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of front-end components, increasing code quality and reducing the occurrence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create intuitive interfaces that adhere to usability standards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operational excellence by debugging and maintaining production systems with a focus on uptime and reliability,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front-end development, fostering a culture of knowledge sharing around modern frameworks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capabilities into applications, enhancing UX for collaborative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solutions that met complex client requirements in government and enterprise sectors, focusing on secure data transmission and storage utilizing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adaptive learning among the team by gradually introducing new languages and technologies based on project needs,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code refactoring, improving legacy systems through the integration of modern tech stacks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cloud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industry standards for security within front-end applications, implementing guidelines for secure coding practices and conducting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technical development with corporate objectives, ensuring technology adoption supports overall business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to enhance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integration of third-party RESTful APIs into client applications, enhancing functionality with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deliver projects ahead of deadlines,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built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aligning with client specifications that ensured scalability and maintainability of applications while adhering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and facilitating complex user interactions within single-page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data persistence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reliability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programming sessions to ensure optimal coding practices and foster team collaboration, emphasizing the importance of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initiatives by analyzing application performance metrics and user feedback, driving necessary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privacy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 and translate them into technical specifications, ensuring clear communication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collaboration within the development team and streamlining changes across multiple code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modular development and deployment, allowing for independent scaling of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support rotations to address and resolve production-level issues swiftly, ensuring minimal disruption to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end-user training for clients on newly implemented software solutions, focusing on enhancing user proficiency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regularly to refine best practices for software development, advocating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