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expertise in architecting and managing scalable infrastructure within cloud environments. Proven track record in implementing security compliance measures and optimizing CI/CD pipelines to enhance developer productivity. Skilled in leveraging a wide array of tools and technologies to ensure resilience and efficiency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Secrets Management, SAST, CSPM,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Load Balancers,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KVM, Hyper-V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Helm, Argo CD,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production environments across multiple regions, enhancing resilience and scalability for SaaS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implementations for infrastructure provisioning,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runtime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and reliable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improve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for multi-tenancy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increasing market readiness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AI-assisted developer tooling that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developer productivity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standardized processes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Hardened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against misconfigurations and potential vulnerabilities, reducing security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Codified infrastructure patterns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and reusability across project environments, leading to a 50% reduction in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performance issues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shared libraries and documentation for mentoring and facilitating knowledge transfer among engineering teams, bolstering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SBOM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tooling into the SDLC, enhancing security posture and compliance readiness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local development environments, improving consistency and reducing onboarding time for new engineers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scalability and reliability measures by partnering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containerized applications, streamlining deployment processes and resource management across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integrations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with minimal service interruptions.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EC2, RDS, and S3 for diverse client projects, enhancing operational efficiencies by up to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updates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workflows and reducing provisioning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on-premise applications to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scaling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 and reducing error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standard operating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successful audits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insights and actionable alerts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security measures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VPN setups to enhance data protection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solutions to enhance developer experience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CI integrations, streamlining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delivery timelines and enhance collaboration between development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microservices, focusing on modular design and low-latency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platform migration projects, ensuring minimal disruption to ongoing operations and maintaining end-user experience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code changes and collaborating with team members on feature development.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security assessments and vulnerability scans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identifying and mitigating potential risks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on identifying performance bottlenecks in applications and infrastructure, recommending optimizations that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mentoring junior engineers, fostering a culture of continuous learning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high-availability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technologies to ensure business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