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expertise in cloud infrastructures and scalable systems. Proven track record of deploying robust software and hardware solutions leveraging advanced technologies to augment human cognition. Exceptional skills in building large-scale distributed systems, applying best practices in AI and ML, and facilitating seamless integrations.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 &amp; DevOps:</w:t>
      </w:r>
      <w:r w:rsidRPr="00C3688B">
        <w:rPr>
          <w:rFonts w:ascii="Arial" w:hAnsi="Arial" w:cs="Arial"/>
          <w:color w:val="424242" w:themeColor="text1" w:themeShade="BF"/>
          <w:sz w:val="20"/>
          <w:szCs w:val="20"/>
        </w:rPr>
        <w:t xml:space="preserve"> Google Cloud Platform (GCP), Infrastructure as Code (IaC), Pulumi,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Git, Jenkins, Automation, Monitoring, Logging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ML:</w:t>
      </w:r>
      <w:r w:rsidRPr="00C3688B">
        <w:rPr>
          <w:rFonts w:ascii="Arial" w:hAnsi="Arial" w:cs="Arial"/>
          <w:color w:val="424242" w:themeColor="text1" w:themeShade="BF"/>
          <w:sz w:val="20"/>
          <w:szCs w:val="20"/>
        </w:rPr>
        <w:t xml:space="preserve"> TensorFlow, PyTorch, TensorFlow Serving, ML Ops, Prompt Engineering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MobX, REST APIs, GraphQL,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Encryption, Secure Data Handling, Anonymization,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JIRA, Postman, Swagger, Visual Studio Code,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Communication:</w:t>
      </w:r>
      <w:r w:rsidRPr="00C3688B">
        <w:rPr>
          <w:rFonts w:ascii="Arial" w:hAnsi="Arial" w:cs="Arial"/>
          <w:color w:val="424242" w:themeColor="text1" w:themeShade="BF"/>
          <w:sz w:val="20"/>
          <w:szCs w:val="20"/>
        </w:rPr>
        <w:t xml:space="preserve"> Agile Methodologies, Scrum, Team Collaboration, Remote Work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several highly available services in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Pulumi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performance for over 50,000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asynchronous job processing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throughput by 30% in a multi-tenant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with internal services to create seamless communication channels, improving feature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implementing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deployment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w:t>
      </w:r>
      <w:r w:rsidRPr="00C3688B">
        <w:rPr>
          <w:rFonts w:ascii="Arial" w:hAnsi="Arial" w:cs="Arial"/>
          <w:b/>
          <w:color w:val="424242" w:themeColor="text1" w:themeShade="BF"/>
          <w:sz w:val="20"/>
          <w:szCs w:val="20"/>
        </w:rPr>
        <w:t xml:space="preserve">ML 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for complex GPU-bound workloads, successfully deploying classification models that increased user engagement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w:t>
      </w:r>
      <w:r w:rsidRPr="00C3688B">
        <w:rPr>
          <w:rFonts w:ascii="Arial" w:hAnsi="Arial" w:cs="Arial"/>
          <w:b/>
          <w:color w:val="424242" w:themeColor="text1" w:themeShade="BF"/>
          <w:sz w:val="20"/>
          <w:szCs w:val="20"/>
        </w:rPr>
        <w:t xml:space="preserve">encryption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data anonymization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 storage solutions, ensuring compliance with user privacy laws.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microservices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system response time by 20%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advanced monitoring and logging systems leveraging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insights on application performance and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fully remote environment to build a culture of knowledge-sharing using tools such as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prompt engineering for AI features that improved customer interaction with our product by enhancing the tailored experiences based on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quarterly strategic reviews to assess performance metrics and align engineering practices with organizational goals,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cloud architecture and modern development workflows, contributing to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and deployment processes, reducing integration inconsistencies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creation of documentation standards for all engineering processes to ensure clarity and transparency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cloud-based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serverless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60% reduction in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provisioning and management for multiple clients, establishing reusable modules that improved deployment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API gateways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for secure access to services, enhancing the overall application security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data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processing of real-time analytics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identify pain points and devise bespoke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multiple agile sprints, applying Scrum methodologies to prioritize and allocate tasks effectively within the team, ensuring timely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site reliability engineering practices to bolster uptime and availability for major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technical solutions to stakeholders that resulted in a 30% budget approval for restructuring legacy systems.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robust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user experiences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architectures with a focus on </w:t>
      </w:r>
      <w:r w:rsidRPr="00C3688B">
        <w:rPr>
          <w:rFonts w:ascii="Arial" w:hAnsi="Arial" w:cs="Arial"/>
          <w:b/>
          <w:bCs/>
          <w:color w:val="424242" w:themeColor="text1" w:themeShade="BF"/>
          <w:sz w:val="20"/>
        </w:rPr>
        <w:t xml:space="preserve">cloud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seamless transition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key stakeholders to assess current system functionalities and proposed actionable enhancements that improved system stability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measures employing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OIDC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greatly improving login security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ease data integration across platforms, resulting in enhanced operational efficiency and data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actively in a team to implement responsive web design principles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accessibility across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product backlogs and development tasks,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maintain team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team stand-ups to synchronize project progress and address any blockers swiftly, ensuring a cohesive team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