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leading backend and full-stack development initiatives. Proven expertise in architecting scalable APIs and improving application performance for legal tech platforms. Adept at managing cross-functional teams to optimize user experiences through robust technology solutions, ensuring high availability and reliability in production environments. Passionate about mentoring technical teams to cultivate a culture of excellence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React.js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Terraform, CI/CD,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response times through caching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resilience while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in cloud environments, resulting in 99.9% uptime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 storage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user interfaces, ensuring seamless integration with backend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processes through JIRA, managing sprints, prioritizing backlog, and enhancing team productivity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developers, fostering a collaborative environment that encouraged continuous learning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storage technologies to enhance processing performance, implementing a hybrid model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optimal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end-to-end automation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robustness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performance bottlenecks in applications, leveraging profiling tools to inform architectural decisions leading to enhanced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Championing incident management practices and operational excellence, achieving reduced recovery times and sustained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asynchronous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to handle increased user demands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protocols while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all client platforms, enhancing data protection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by applying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execution time by 45%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an initiative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development, providing flexible data-fetching mechanisms that improved developer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monolithic applications to microservices architectures, which led to a more manageable codebase and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evaluating new technologies and tools, contributing to a technology roadmap that aligned with client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encourage the adoption of best practices in software development and testing, leading to enhanced operational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granting secure and scalable authentication services to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user-facing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performance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development processes, accelerating project deliverables while maintaining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troubleshooting of software issues in real time, utilizing debugging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client concerns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establish and maintain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delivered features met predefined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