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Staff Backend Engineer with over 8 years of experience in developing large-scale, machine learning-driven solutions. Proven ability to architect robust backend systems and lead the full ML lifecycle, leveraging deep expertise in AI applications in a fast-paced startup environment. Experienced in transforming complex business problems into AI capabilities, delivering significant business impact through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TensorFlow, PyTorch,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Kafka, Apache Spark,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 Operations, Model Deployment, Predictive Modeling,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GraphQL, Microservices,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machine learning models for a scalable insurance platform, achieving a 30% reduction in underwriting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streaming data pipelines that enabled real-time data ingestion and processing for machine learning models, enhancing live submission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our CI/CD pipelines, ensuring seamless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and translate complex broker pain points into actionable AI solutions, improving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driving the development of innovative features that enhance the broker's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growing engineering team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established a culture of code quality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and monitoring of production-grade ML systems, ensuring compliance with privacy and audit requirements while operating in a fast-paced startup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robust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served thousands of users daily and streamlined access to the underlying machine learning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retrieval, supporting machine learning workflows and ensuring data consistency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create strategic product roadmaps, positioning the AI insurance platform to handle hundreds of millions of dollars in policies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and optimizations of existing machine learning models, enhancing efficiency while maintaining compliance with insurance regulations using best practices in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engineering workflows through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increasing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project updates to stakeholders, ensuring alignment with business objectives and demonstrating the measurable impact of technical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Agile sprints, contributing to team retrospectives and planning sessions,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interfaced with complex back-end databases, improving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large datasets efficiently, enabling faster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build predictive models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operations, leading to improved client engagement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performance upgrades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deployment confidence and reducing bug-related incidents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ensure all technical solutions aligned with client objectives,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structure, allowing for more flexible client queries and reducing data transfer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API gateways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enhanced application performance and security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OAuth 2.0 authentication workflows within enterprise applications, improving user login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refine product requirements and coding standards, enhancing application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of module-based design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front-end solutions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to current standards, implementing best practices for code refactoring and documenting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deployments and track project histories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improvement, attending workshops on emerging technologies and their applications in enterprise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