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over 10 years of expertise in developing scalable software solutions and leading technical strategy for high-growth companies. Proven ability in architecting serverless systems using cloud-native technologies and enhancing team productivity through strategic mentoring. Strong adeptness in backend development, database management, and complex system architecture, all aimed at delivering user-centric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AppSync, DynamoDB, AWS IAM, AWS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Continuous Integration,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CDK, Terraform,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OAuth2, GraphQL APIs, Real-time Data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support high volume transactions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500% increase in application performance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fostering a culture of collaboration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DevOps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CI/CD pipeline that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Scoped, designed, and executed ambitious multi-quarter projects, employing agile methodologies and regular stakeholder collaboration to track progress and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project specifications to facilitate smooth transitions between engineering teams and maintain clarity on project goals and technical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secure permissions and access management across various microservices, enhancing the security posture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implement user feedback into the architecture, effectively aligning product development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AppSync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product teams with actionable insights to drive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challenges by introducing innovative solutions, like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reduce API overheads.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metrics and implemented logging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bottlenecks and ensure smooth operation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team capabilities by hosting bi-weekly knowledge-sharing sessions on AWS services, backend best practices, and modern software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frameworks, making strategic recommendations for adoption aligned with organizational growth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integrated platform that improved client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documentation and client support through each stage of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cloud-based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querying through indexing strategies, enhancing user experience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applications through consistent API specifications ensuring high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robust logging and error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team's ability to troubleshoot and resolve production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reviews, proposing enhancements that significantly increased application transaction throughput by utilizing advanced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foster team growth, emphasizing patterns that contribute to cleaner, maintainable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efficiently by utilizing OAuth2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management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refactoring tasks focusing on scalability and maintainability, which resulted in a 25% performance increase in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suites for existing applications and 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continuous functionality as codebases evolved.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databases from monolithic structures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fractional data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