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AI Engineer with over 8 years of experience in designing, implementing, and optimizing AI/ML-centric architectures and data platforms in multicloud environments. Highly skilled in leveraging cutting-edge technologies and frameworks to address complex engineering challenges and improve customer outcomes. Proven track record of collaborating with cross-functional teams and leading projects from ideation through full deployment, ensuring alignment with business goals and technical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 Infrastructure (OCI),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LangChain, Cohere, 23ai, FAISS, Pinecone,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Pipelines, Data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for end-to-end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comprehensive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ingestion and processing for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the architecture for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AI-centric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platform that supports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autonomous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pipelines,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retrieval and model inference speed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partnerships with engineering and product teams to spearhead the design of multicloud solutions, increasing operational efficiency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large-scale databases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tuning through effective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lifecycle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patterns across diverse technical teams, resulting in decreased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 in line with industry compliance standards and organizational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leadership in the transition from on-premise solutions to cloud-based infrastructures, facilitating smooth migrations with minimal downtime and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 pipelines, automating testing and deployment processes for faster iteration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fellow engineers on the integration of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ensuring team-wide expertise in the latest developments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to stakeholders, showcasing the benefits of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and new innovations to drive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outlining best practices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solutions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enterprise applications to ensure the integrity and confidentiality of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robust data management practices, facilitating effective data querying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integration processes and improving overall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functionalities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building complex data pipelines for various project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develop models deploying cutting-edge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accuracy in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system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troubleshooting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and facilitate version control for all developments.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security for web applications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on cloud migration projects, ensuring seamless integration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while maximizing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automating data integration processes between disparate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accuracy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pain points in existing workflows and recommend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proof of concept (POC) initiatives that validated the integration of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technologies leading to successful implementation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technical discussions to gather requirements and present tailored technology solutions, fostering stronger client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