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AI/ML Engineer with extensive experience in developing AI agents and implementing machine learning solutions. Expert in building large language models, AI governance, and effective cross-functional collaboration. Proven ability to create impactful generative AI capabilities that drive new opportunities and enhance organizational productivity. Passionate about leveraging technology to support business processes and optimize performance in a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Machine Learning Algorithms, AI Governance, Generative AI,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Hadoop, Apache Spark,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LoadRunner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and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recommendation systems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APIs for managing AI agent requests, facilitating seamless integration between teams and the AI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processing time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evaluations of AI agents using analytics tools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evaluation datasets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agent interactions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understand business needs, mapping 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adhere to industry standards while enhancing AI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innovative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AI applications, resulting in improved scalability and reduced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AI development methodologies and best practices,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training programs to improve team capabilities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frameworks, elevating project execution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automation of workflows using AI agents, which enhanced operational efficiencies across multiple departments and opened up new avenues for revenue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various AI tools and platforms, conducting buy vs. build analysis to choose optimal technical solutions that align with departmental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for stakeholders,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disseminate knowledge about emerging AI technologies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translate business requirements into technical specifications, ensuring all AI initiatives aligned with strategic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AI agent performance metrics and provide actionable insights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successfully predicted customer churn with over 85%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reporting processes, resulting in a 30% reduction in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processing workflows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integrity and availability for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infrastructure costs for machine learning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and clients to define project scope and deliverables, delivering projects within budget and time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(CI/CD) processes, increasing the reliability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storage and retrieval, enhancing data accessibility for analytics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cloud identities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optimizing web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and scalable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security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web applications, boosting the security of client data access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improving overall software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that led to the innovative design of new features for existing products, driving user engagement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