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strategic Senior Software Engineer specializing in Reliability Engineering, focused on enhancing observability and operational resilience. Proven track record in implementing DevOps practices and advanced incident management solutions that drive operational efficiencies. Excels in mentoring teams and establishing standards for high-availability architectures using leading technologies such as AWS, Kubernetes, and Terraform.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Python,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Terraform,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Grafana,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Incident Management:</w:t>
      </w:r>
      <w:r w:rsidRPr="00C3688B">
        <w:rPr>
          <w:rFonts w:ascii="Arial" w:hAnsi="Arial" w:cs="Arial"/>
          <w:color w:val="424242" w:themeColor="text1" w:themeShade="BF"/>
          <w:sz w:val="20"/>
          <w:szCs w:val="20"/>
        </w:rPr>
        <w:t xml:space="preserve"> JIRA, PagerDuty,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GitLab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Bash,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 Standards:</w:t>
      </w:r>
      <w:r w:rsidRPr="00C3688B">
        <w:rPr>
          <w:rFonts w:ascii="Arial" w:hAnsi="Arial" w:cs="Arial"/>
          <w:color w:val="424242" w:themeColor="text1" w:themeShade="BF"/>
          <w:sz w:val="20"/>
          <w:szCs w:val="20"/>
        </w:rPr>
        <w:t xml:space="preserve"> OpenTracing, OpenTelemetry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Technologies:</w:t>
      </w:r>
      <w:r w:rsidRPr="00C3688B">
        <w:rPr>
          <w:rFonts w:ascii="Arial" w:hAnsi="Arial" w:cs="Arial"/>
          <w:color w:val="424242" w:themeColor="text1" w:themeShade="BF"/>
          <w:sz w:val="20"/>
          <w:szCs w:val="20"/>
        </w:rPr>
        <w:t xml:space="preserve"> DNS, TCP/IP, HTTP/HTTPS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AI-driven alerting systems utilizing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proactive incident response, enhancing observability across all service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reliable infrastructure by implementing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Infrastructure-as-Code practices, enabling automated provisioning of both cloud and on-premises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streamlining deployment processes and increasing service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comprehensive reliability dashboards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data from multiple sources for real-time monitoring and reporting.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engineers on best practices for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culture, emphasizing the importance of operational maturity and cross-team collaboration for incident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strategic initiatives to standardize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configurations, reducing deployment times by 40% through automation and template-driven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observability standards across teams, implementing </w:t>
      </w:r>
      <w:r w:rsidRPr="00C3688B">
        <w:rPr>
          <w:rFonts w:ascii="Arial" w:hAnsi="Arial" w:cs="Arial"/>
          <w:b/>
          <w:color w:val="424242" w:themeColor="text1" w:themeShade="BF"/>
          <w:sz w:val="20"/>
          <w:szCs w:val="20"/>
        </w:rPr>
        <w:t xml:space="preserve">OpenTelemetry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consistent tracking and tracing of application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incident management processes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PagerDuty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response times and reduce outage durations, resulting in a 30% improvement in incident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continuous integration and delivery, improving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monitoring practices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enable real-time performance tracking and alerting for all microservices deployed.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systems analysis to identify root causes of reliability issues, utilizing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command-line tools for diagnostics and performance tuning activities.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centralized logging solutions using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(Elasticsearch, Logstash, and Kibana) to aggregate and analyze logs for system-wide visibility on incidents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strong communication across technical and non-technical stakeholders to align operational goals with business objectives, enhancing overall service readiness.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service extraction efforts and architectural redesign to transition monolithic applications into microservices, improving system flexibility and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monitoring dashboards with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system health and performance metrics, enhancing real-time decision-making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automation scripts that streamlined operational tasks and improved incident response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to define and deploy cloud-based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operational excellence and scalability using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Assessed performance bottlenecks and 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system performance improvements of over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company's transition to a microservices architecture by creating reliable REST APIs and ensuring comprehensive test coverage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and managed repositories to ensure code quality and team collaboration during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and improved deployment automation, enabling faster turnaround and higher quality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administration best practices for junior engineers, promoting a culture of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operational support for </w:t>
      </w:r>
      <w:r w:rsidRPr="00C3688B">
        <w:rPr>
          <w:rFonts w:ascii="Arial" w:hAnsi="Arial" w:cs="Arial"/>
          <w:b/>
          <w:bCs/>
          <w:color w:val="424242" w:themeColor="text1" w:themeShade="BF"/>
          <w:sz w:val="20"/>
        </w:rPr>
        <w:t xml:space="preserve">Okta's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 identity management by scripting deployment automation in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efficiency in customer onboarding.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high-availability architectures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such as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load balancing, ensuring minimal downtime and robust system uptime.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for incident remediation processes and implemented a ticketing system with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tracking and prioritization of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integrity through backup and recovery procedures.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tools for streamlined user authentication and authorization, integrating </w:t>
      </w:r>
      <w:r w:rsidRPr="00C3688B">
        <w:rPr>
          <w:rFonts w:ascii="Arial" w:hAnsi="Arial" w:cs="Arial"/>
          <w:b/>
          <w:bCs/>
          <w:color w:val="424242" w:themeColor="text1" w:themeShade="BF"/>
          <w:sz w:val="20"/>
        </w:rPr>
        <w:t xml:space="preserve">Okta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and scalable user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system monitoring with </w:t>
      </w:r>
      <w:r w:rsidRPr="00C3688B">
        <w:rPr>
          <w:rFonts w:ascii="Arial" w:hAnsi="Arial" w:cs="Arial"/>
          <w:b/>
          <w:bCs/>
          <w:color w:val="424242" w:themeColor="text1" w:themeShade="BF"/>
          <w:sz w:val="20"/>
        </w:rPr>
        <w:t xml:space="preserve">Nagios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uptime and reliability across various client-hosted applications, contributing to a proactive incident management strategy.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on-call rotations to troubleshoot and resolve operational issues, improving response protocols through thorough documentation and knowledge transfer sessions.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operational procedures and application management, standardizing processes for future engineering teams.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