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developing and optimizing ad tech solutions. Proven track record of architecting high-performance systems that enhance user engagement and revenue generation through innovative software development practices. Strong expertise in both front-end and back-end technologies, leveraging deep knowledge of the digital advertising ecosystem to drive technical projects forward.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CSS, HTML,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PHP Frameworks,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Playwright, Grafana,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 Tech: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Ad Manager, Prebid.js, OpenRTB, VAST, IAB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ad serving infrastructure, improving ad loading times by 30%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ad viewability through optimized rendering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product specifications, implementing features that increased revenue by 15% per quarter through enhanced ad targeting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tracking pipelines, improving data collection efficiency for detailed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high-quality front-end experiences that comply with privacy regulations like GDPR and CCPA.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solutions that improved system reliability and reduced latency by leveraging best practices in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technical documentation for ad technology solutions, facilitating knowledge sharing within engineering teams and improving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software release cycle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contributed to the establishment of engineering standards, emphasizing the importance of clean, maintainable code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ad creatives using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the user experience and driving higher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technical projects with business goals, ensuring that engineering efforts directly supported revenue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best practices for building performant web applications,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metrics, allowing for proactive identification of system issues and quick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about ad tech advances, enhancing team capabilities in using industry standards like OpenRTB and VAST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ad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substantial reductions in load times and improved ad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data scientists to gather requirements for ad serving capabilities, aligning technical development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web performance tuning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delivery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consent management systems, ensuring compliance with privacy regulations in all deployed ad tech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Publisher Tag (GPT)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Ad Manager settings for optimal ad performance and revenue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retrieval processes from backend systems for improved ad serving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internal processes through automation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reducing manual intervention in ad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benefits, enhancing team capabilities in developing high-quality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cross-functional teams to implement features based on customer feedback, driving improvements in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ongoing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faster data access and retrieval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frontend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 and daily stand-ups to drive project timelines and objectives forward.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user stories and acceptance criteria to improve the development cycle and ensure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Analysed and reported on web metrics using Google Analytics, using insights to guide future project directions and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