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across diverse roles specializing in back-end and front-end development, leveraging AI-assisted tools and strong SQL expertise. Proven track record in building scalable solutions and collaborating with cross-functional teams to foster business growth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Ruby on Rails, Django,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Git, CI/CD, Cursor, Codex, Claude Swarm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Collaboration, Problem-solving, Stakeholder Engagement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AI-assisted coding, Machine Learning, Data Science,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resulting in a 30% reduction in loading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handle 1 million+ daily transactions efficiently, ensuring 99.9%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code generation and debugging processes,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rapid deployments and seamless rollback features, drastically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requirements, translating them into technical specifications and design documents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one of our high-traffic applications, facilitating independent scaling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user-friendly interfaces, incorporating accessibility standards which resulted in an inclusivity score increase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end-to-end feature delivery, from initial concept through testing and deployment, reducing the average feature release cycle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indexing strategies, leading to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technical discussions to propose technology stack upgrades that align with long-term business goals.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by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coding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development practices, leading to a more proficient team.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for serverless architecture promoting cost-efficiency and scalability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enhance project communication, resulting in improved iterative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system efficiency increase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compatibility that increased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API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data handling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fostered a better understanding of CI/CD, enhancing the product release cycle effectiveness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and product managers to create seamless interactive applications that align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collaborative efforts and improving workflow efficiency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discussions on database optimization and scaling, leading to a more efficient use of resources in application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user security processes for a variety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deployment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times and minimizing operational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user satisfaction rates by ensuring seamless interactions between the frontend and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practices, improving team collaboration and enhancing project delivery speed.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technical documentation for complex features to support development efforts and ensure team members could effectively engage with the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stakeholders to gather feedback, iteratively refining applications that improved alignment with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