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development team lead with a strong background in backend technologies and software architecture, specializing in high-quality software solutions for the sports betting industry. Proven track record of managing talented teams and driving innovation in fast-paced environments. Champion of best practices in software development, focusing on collaborative environments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8+, Node.js,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Data, Spring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MyBatis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and Search: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 (AWS ElastiCache),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Loki, Tempo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software development team of 12 engineers,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deploy microservices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data integrity in sports betting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technology stack improvements,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reduced latency by 40% in real-time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instituted best practices in development, resulting in a 30%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guided the architecture of scalable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ensuring seamless scaling during peak event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delivery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25%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backend development methodologies,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management, fostering a culture of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cross-functional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tracking,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tech innovation days, driving team participation in hackathons to foster creativity and experimentation with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Message Queues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monitoring, proactively identifying and resolving performance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team performance evaluations and career development plans, keeping teams motivated and aligned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improvement by identifying bottlenecks in the code development process and facilitating workshops on best coding practices and efficient tool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architecture discussions, providing insights on the use of technology to solve complex problems and improve existing solutions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stand-ups and retrospectives to ensure continuous alignment with business goals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increasing user engagement for clients in the sports betting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architecture meetings that determined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facilitate better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projects to enhance application reliability and facilitate effective cloud computing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times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significantly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team initiatives in code quality assurance through automated testing and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transparency and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engineers on existing architecture and best practices in software development, particularly in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clarify requirements and define timelines, aligning technical deliverables with business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high-availability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design and implementation to enhance client applications'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patterns which improved deployment strategies and overall reliability of applications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on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persistence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incorporating asynchronous processing and message queuing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RocketMQ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lower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audits and retrospectives to ensure a focus on coding standards and effective team communication regarding software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lifecycle from gathering requirements to deployment, ensuring coding standards were met, and that projects delivered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project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version control and tracking of software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codebases, gradually refactoring and migrating to newer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modernization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