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Engineering Manager with extensive experience in leading engineering teams and delivering high-quality software solutions. Proficient in Django, React, and collaborative tech practices, committed to enhancing project performance and team development. Seeking to leverage a robust technical skillset and leadership experience to drive innovation and improve user experience at SchooLinks.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Django REST Framework, React, Celery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Web Application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Sprint Planning, Backlog Grooming, Agile Coaching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develop a scalable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task management, improving production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a suite of educational tools,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ensuring optimal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quality by incorporating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pair programming sessions and code reviews to foster knowledge sharing and maintain high code standards, driving a 25%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routes that improved loading times by 50%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decreasing release cycles by two weeks.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Agile ceremonies including sprint planning and retrospectives, leading the team to meet 95% of sprint goals on average.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epics and user stories into technical specifications, enhancing feature alignment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cross-team collaboration to identify and resolve service outages, ensuring minimal downtime and rapid recovery measures were enacted.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significantly increasing team competency in backend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setup and consistency across development and production,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system components using Microservices, resulting in increased modularity, making it easier to implement scalable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prioritize project backlogs and manage production issues, enhancing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robust client-side experience that increased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methodologies, attending daily stand-ups and iterating on user stories to provide direct feedback and improvement suggestions.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communication between client and server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handle large datasets effectively, leading to performance gains in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strict adherence to branching models for seamless integration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tasks, streamlining the tracking of progress and resource allocation, which improved project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initiatives to embed quality assurance practices, leading to the adoption of automated testing frameworks which reduced bug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coding sessions with junior developers to nurture their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technologies.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in an Agile environment, delivering high-quality code for various client-driven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functionality based on client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architecture of a multi-tenant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ensuring responsive design principles were adhered to, enhancing user interface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meetings to align development strategies with client business objectives, adapting code to meet changing requirements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services for optimized scalability and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documentation of code standards and development workflows for ongoing projects to ensure consistency and quality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 storage solutions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responded proactively to any issues following deployments, improving overall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