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leading engineering teams and driving growth through innovative solutions. Proven track record of delivering high-impact technical projects in fast-paced environments, leveraging deep technical expertise in modern programming languages and frameworks while fostering a culture of collaboration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Golang,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SQL, SQL Server,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Puppeteer, Airflow,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Github Actions, Concourse, Jenkins, TeamCity, CircleCI, Travis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Splunk, Sentry,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Growth Domain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Amplitude, Amazon Quicksight, Statistical Analysis,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led a high-performing growth engineering team that successfully increased user engagement by 40% through A/B testing and targeted experiments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architecture for the growth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iteration and deployment of features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scalability, resulting in a 30% decrease in response times for major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align engineering efforts with key business objectives, driving successful initiatives that resulted in increased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coached team members on best practices in software engineering, leading to improved team performance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local development environment and enhancing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across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monitoring and alerts, significantly reducing outage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web applications, achieving a 90% reduction in critical defects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projects involving statistical methods and applied growth hacking strategies to optimize customer acquisition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among engineering teams to reinforce best practices in coding and project management methodologies such as Agile and Scrum.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growth experiments to understand user behavior, utilizing statistical analysis to guide future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incident management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quick resolution of production incidents, minimizing downtime and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development environment, leading to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features, improving data access speeds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database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database design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designing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and deployment processes, resulting in a 30% reduction in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junior engineers,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technical solutions met business goals and user needs, maintaining alignment with company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optimize existing software, leading to increased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adherence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 within the project team, improving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and engaging web-based interfaces, ensuring responsive design principles were followed.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