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a robust background in designing and implementing complex software solutions. Proficient in a wide array of programming languages and frameworks, with a strong emphasis on performance, scalability, and maintainability. Adept at collaborating with cross-functional teams to deliver high-impact projects consistently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Microservices Architecture,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data efficiently for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speed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backend services while achieving an 80% reduction in response times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migrate legacy services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applications, achieving a code coverage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performance by 35%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best practices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front-end applications, streamlining the process of managing complex UI states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several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automation and efficiency in project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ensuring continuous improvement in team dynamics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and third-party APIs, enhancing the functionality of e-commerce platforms and improving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conducting regular audits and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exchanges.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technical guidance on project feasibility and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improvements in coding standards and practices, resulting in a reduction of technical debt by 25%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wide range of client projects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performance through implementation and optimization of caching strategies and front-end assets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integrations with third-party services, ensuring seamless data flow and interaction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project management, resulting in increased productivity and timely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addressing bottlenecks to enhance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 sessions, advocating for best practices in application development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facilitating collaborative development while maintaining an organized project structure.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within application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repetitive tasks and improving overall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testing of new features and enhancements to existing systems, ensuring adherence to software development lifecycle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analyzing system requirements to inform new project proposals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across application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application architecture and processes, ensuring ease of understanding for future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monitoring tools to identify areas for improvement, leading initiatives that resulted in a 20% decrease in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developers and familiarizing them with project workflows and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