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10 years of professional experience in developing innovative software solutions across diverse industries. Proven track record of leading projects end-to-end from architecture design to implementation while focusing on performance, scalability, and security. Skilled in leveraging a wide technology stack to drive efficiency and deliver high-quality software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ASP.NET, Angular,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Design, Service-Oriented Architecture, MVC, Domain-Driven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enterprise-grade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user-friendly interfaces and backend functionality, achieving a 30% improvement in system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scalable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resulting in reduced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 real-time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development of modular components that improved maintainability and scalability of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integrated coding standards aligned with professional software engineering practices, ensuring quality control throughout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enhance team capabilities, leading to a 20% decrease in onboarding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systems by migrating them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redundancy and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implementation, improving deployment frequency by 50%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methodology for project management, resulting in a 15% increase in team productivity and faster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documentation, including flow charts and system diagrams, to enhance communication of system structures and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and optimization of high-throughput applications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latency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software and hardware upgrades to optimize system performance, ensuring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version control and collaboration, maintaining clean project histories and facilitating team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completing deliverables ahead of schedule and improving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resulting in 99.9%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architectural design of a multi-threaded back-end solution that supported high-volume transactions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timelines and deliverables, improving response to changing requirements and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on-premises applications to a hybrid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allocation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of applications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integration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interoperability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experience flows and interfaces with HTML5/CSS3, ensuring responsive designs that adhered to modern usability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projects by developing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security practices in software solutions, ensuring compliance with industry standards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tasks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transition of data across systems, reducing data loss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requirements and solutions, fostering collaboration and innovative problem-solving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documentation for existing systems, ensuring up-to-date references for team members and clients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phase of multiple projects,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secure code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analyses using profiling tools to identify bottlenecks in applications and propose strategic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