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backend development, specializing in scalable, secure, and high-performance applications. Proven track record in leading engineering teams and delivering innovative software solutions, employing a wide range of technologies and frameworks. Adept at optimizing software processes and improving system architectures to meet the growing demands of clients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Ruby, C#,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Flask,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 Architecture,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backend architecture for a real-time data processing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and scalability to handle millions of requests daily.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a microservices-based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achieving a 30%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industry-standard security protocols and improving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 into applications, improving functionality and user experience, with a focus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flexible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increasing deployment frequency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promoting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programming, resulting in better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 and improved query performance through optimization strategies, reducing response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frameworks were developed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bug rates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to iteratively improve project deliverables and team dynamics, fostering collaboration and accountability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system health tracking and alerting, preventing downtime in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serverless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variable workloads with cost efficiency while improving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scope and deliverables, adhering to deadlines while ensuring high-quality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system architecture based on microservices principles, which led to a 50% reduction in system downtime during upgrades.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focusing on security and performance enhancements that aligned with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into existing applications, enhancing scalability and reliability for a large user 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SQL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complex queries and stored procedures to facilitate efficient data retrieval and storage.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REST APIs for client applications in multiple industries, ensuring seamless data transfer and application integration with secure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best practices in Agile methodologies to improve development cycles and project outcomes, leading to increased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data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processing and transforming large datasets, which improved reporting capabilities and data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logging and error handling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Serilog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NLog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troubleshooting and support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training sessions on application features, resulting in reduced support requests and increased user adoption.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protocols for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addressing user authentication and authorization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debugged existing code bases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system reliability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workflow efficiency during project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develop responsive web applications, optimizing front-end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functionality by integrating third-party APIs, which significantly expanded user capabilities and improved client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Authored technical documentation and participated in knowledge-sharing sessions, fostering a culture of continuous learning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performance monitoring solutions to track application behavior and identify bottlenecks, leading to a sustained 99% uptime for customer-facing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rollout of cloud initiatives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scalability and operational efficiencies.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