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leveraging AI-driven development methodologies to enhance software product delivery. Proven track record of building and shipping complex applications in fast-paced fintech environments, with deep expertise in database management, backend development, and cloud solutions. A strong advocate for automation and iterative improvements, dedicated to maximizing productivity and leveraging technology to drive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Microsoft SQL Server, MySQL, MongoDB,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TensorFlow, Keras,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Figma, Agile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API performance by 30% and streamlining data access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to automate deployment processes, reducing manual intervention by 50% and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integrated real-time data synchronization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deployments, ensuring high availability and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AI-driven tools for code generation,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increase development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extensive database migration projects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and project tracking, leading to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user manuals for developed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sharing and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improving code quality and adherence to coding standards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transition to a fully remote workflow, implementing tools for asynchronous development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high-volume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terabytes of data with near real-time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developer experience by optimizing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custom scripts, reducing build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coordinated with design teams to ensure seamless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replace REST endpoints, enabling clients to request precisely the data they need, reducing payload sizes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continuous learning within the team, organizing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advancements and tools that facilitate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integration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performance benchmarks and reducing load times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from complex datasets for client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B2B SaaS application that scaled to support 10,000+ users with real-time analytics,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deployment of updates and patches to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API endpoint responses by incorporating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responsiveness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automated repetitive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implement Agile Scrum methodologies, improving sprint execution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 for software development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authorization systems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a data-driven marketing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tracking of customer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the efficiency of internal tools and provided APIs for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performed debugging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code quality and reliability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refine application interfaces using wireframe tools and prototypes, ensuring user-centric design principles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existing applications, identifying bottlenecks and applying solutions to enhance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present technical solutions and proposals, ensuring alignment with customer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migrating legacy applications to microservices architecture, utilizing Docker containers for deployment ease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