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over 8 years of experience in full-stack application development, specializing in data-driven applications within the IT consulting sector. Proven expertise in the implementation of complex systems using modern technologies, cloud solutions, and agile methodologies. Committed to driving innovation and operational efficiency, particularly in the healthcare and pharmaceutical domains.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ReactFlow,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gRPC, REST API, GraphQL, Docker, Kubernetes, Terraform, GitHub Actions, Azure DevOps, SonarQube, Blackduck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Google Cloud, AWS, Azure, PaaS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Manual Testing, Automated Testing, Test Automation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Technical Documentation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w:t>
      </w:r>
      <w:r w:rsidRPr="00C3688B">
        <w:rPr>
          <w:rFonts w:ascii="Arial" w:hAnsi="Arial" w:cs="Arial"/>
          <w:color w:val="424242" w:themeColor="text1" w:themeShade="BF"/>
          <w:sz w:val="20"/>
          <w:szCs w:val="20"/>
        </w:rPr>
        <w:t xml:space="preserve"> OAuth2, Database Modeling, DevOps, Containerization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scalable full-stack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over 30% through optimized data handling and UI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the deployment of a microservices architecture utilizing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scalability and reducing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automated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bug reports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RESTful APIs to support seamless data interaction between frontend and backend systems, ensuring robust security protocols including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authentication.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infrastructure on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enabling automated system configuration that decreased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advanced data analytics tools into healthcare applications, leveraging Python-based analytics frameworks to derive actionable insights, thus improving client outcomes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deployment processes through continuous integration/continuous deployment (CI/CD)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code management and enhancing collaboration among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code reviews and implemented coding standards using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code quality metrics and reduced technical debt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data scientists to refine algorithms promoting data-driven decision-making, leading up to improvements in application performance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SQL databases for backend services, managing data models and ensuring data integrity through effective schema design and querying.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technical documentation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clarity and compliance with best practices and regulatory standards in the healthcare industry.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ongoing support and maintenance for existing applications, achieving 99.9% uptime through proactive monitoring and rapid response to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secure coding practices and modern development frameworks, fostering a culture of continuous improvement and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from healthcare projects to gather requirements and translate them into technical specifications, facilitating alignment between technical delivery and business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launched user-centric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user satisfaction scores and increased client retention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REST API design and development, ensuring integration with third-party services, which improved process automation and efficiency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DevOps initiatives using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workflows, enhancing the team's development speed and improving code deployment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implementing test automation strategies with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consistently high-quality releases and minimizing defect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refactoring existing legacy systems—transitioning to modern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frameworks—which improved maintainability and reduced technical debt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SQL and conducted thorough data modeling exercises to optimize query performance across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containerization tools such as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application deployment processes, significantly reducing time-to-market for multiple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technical training workshops focused on emerging technologies and best practices like Agile methodologies, ensuring team alignment with industry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 applications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optimization which led to a 15% increase in load speed for high-traffic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security features in web applications, utilizing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authentication to safeguard user data on numerous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Employing Agile methodologies to manage project lifecycles, optimizing team workflows and ensuring timely delivery of critical software features based on client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development and documentation of API specifications ensuring usability and compliance with high standards of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implement manual and automated testing protocols that elevated the occurrence of early bug detection.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cloud services across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strategy for hybrid solutions that integrate with existing infrastructure,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