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extensive experience developing robust web applications using cutting-edge technologies. Proven ability to bridge the gap between design and technical implementation, ensuring optimal performance and user experience. Adept in fast-paced environments, delivering high-quality software solutions tailored to stakeholder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TypeScript, HTML5, CSS3,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Postman,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Redux for state management and optimizing performance through code splitting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 principles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devices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routing and state management that improved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backend services that supported frontend needs, handling asynchronous requests efficiently using promises and async/await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that significantly reduced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approaches, ensuring seamless data flow between frontend and backend, which accelerated feature releases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transitions from development to production,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indexing strategies that improved query performance by 40% and reduced latency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tuning initiatives,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 response times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code reviews, and technical documentation,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for project management,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facilitate communication across teams, delivering projects two weeks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libraries and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redundancy and improving development speed for subsequent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synchronization, enhancing user interactions and enabling features like user notifications and dynamic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multiple e-commerce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load times with lazy loading and prefetching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for custom software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rapidly to changing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development, testing,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crafting complex queries and optimally structuring database schemas to support business logic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while developing migration plans to transition to modern architectures using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uphold high standards of code quality, focusing on modularity and maintainability as key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solutions for client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richer user interfaces and streamlined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with secure token generation and multi-factor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interactive elements on web applications, improving user satisfaction metrics through better engagement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documentation and user training for various software tools, supporting team members with effective use of technology in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adopting best practices for API consumption and integration, particularly emphasizing security protocols and data validation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