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accomplished Senior Frontend Developer with over 6 years of experience in building user-centric, high-performance web applications using modern technologies. Proven expertise in TypeScript, React, and GraphQL, along with a strong understanding of web technologies and architecture principles. Strong leadership capabilities with a passion for mentoring and developing engineering talent, while delivering innovative solutions for optimized work communication.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Task Runners: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user engagement, surpassing client satisfaction expectations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infusing real-time data fetch functionality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user interactions and reduced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enforcing best practices and architectural guidelines, which led to a 25% decrease in production bugs and improved team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experience across all device types, achieving a 99% mobile-friendly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to refactor legacy code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code complexity and increased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in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wireframes and prototypes into interactive applications, enhancing the overall design accuracy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and error-free functionality pre-launch, achieving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existing legacy application to a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unify data querying, improving API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engineering team to elevate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profiling and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bundle optimization that improved load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effective CI/CD pipelines with tooling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streamlined deployments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engagement sessions to gather requirements and iterate on features, aligning development output directly with business strategy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operational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maintaining the reliability and scalability of exposed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seamless integration with backend functionality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build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HTML5, emphasizing best practices for web standards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to continuously adapt to project needs and accelerate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tracking tools and analytics to monitor user interaction and iteratively improve user experiences, resulting in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and scalable application architectures that supported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debugging and troubleshooting, enhancing application reliability and user experience while proposing architecture improvements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software solutions, ensuring knowledge transfer and supporting ongoing team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leveraging modern web technologies, focusing on seamless integration and user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implement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UX best practices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process through the implementation of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fostering higher product quality and confidence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modularized component-based architecture, enhancing development efficiency and allowing for independent scaling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