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comprehensive experience in designing and implementing innovative software solutions. Proven track record in leading projects using advanced technologies and methodologies, particularly in the diabetes management space. Adept at collaborating with cross-functional teams, engineering high-quality applications, and integrating advanced software systems to meet complex healthcare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Practices:</w:t>
      </w:r>
      <w:r w:rsidRPr="00C3688B">
        <w:rPr>
          <w:rFonts w:ascii="Arial" w:hAnsi="Arial" w:cs="Arial"/>
          <w:color w:val="424242" w:themeColor="text1" w:themeShade="BF"/>
          <w:sz w:val="20"/>
          <w:szCs w:val="20"/>
        </w:rPr>
        <w:t xml:space="preserve"> Git, Jenkins, JIRA,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 gRPC, OpenAPI Specification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 Tools:</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OAuth2, JWT, Data Encryption, HIPAA, PCI DSS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Django, Flask,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Serverless, Event-Driven, MVC, MVVM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cloud-native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deployment and reducing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client mobile applications,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responsive user interfaces for a diabetes management platform, enhancing user experience and improving accessibility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conduct requirements gathering and design workshops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and aligning on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50% and enhancing container orchestration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microservices architecture, achieving high scalability and maintainability while reducing technical debt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high-quality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an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system for securing APIs, complying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for patient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documentation for APIs using </w:t>
      </w:r>
      <w:r w:rsidRPr="00C3688B">
        <w:rPr>
          <w:rFonts w:ascii="Arial" w:hAnsi="Arial" w:cs="Arial"/>
          <w:b/>
          <w:color w:val="424242" w:themeColor="text1" w:themeShade="BF"/>
          <w:sz w:val="20"/>
          <w:szCs w:val="20"/>
        </w:rPr>
        <w:t xml:space="preserve">OpenAPI Specification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developer onboarding and understanding of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utilize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enhancing the responsiveness of web applications, leading to improved accessibility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continuous integration and continuous deployment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higher deployment frequencies and reduced lead time for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software modules responsible for handling data encryption and security protocols to ensure compliance with </w:t>
      </w:r>
      <w:r w:rsidRPr="00C3688B">
        <w:rPr>
          <w:rFonts w:ascii="Arial" w:hAnsi="Arial" w:cs="Arial"/>
          <w:b/>
          <w:color w:val="424242" w:themeColor="text1" w:themeShade="BF"/>
          <w:sz w:val="20"/>
          <w:szCs w:val="20"/>
        </w:rPr>
        <w:t xml:space="preserve">PCI DSS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 for health data analytics, improving processing time by 30% through 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(SDLC)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sprint planning and retrospectives involving cross-team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capabilities, improving feature richness and speeding up implementation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responsive web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satisfaction scores through improved performance and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systems from monolithic architecture to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-containerized environments, leading to enhanced scalability and easier management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leading to a reduction in load times by 20% through optimization of backend processes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test-driven development (TDD) approach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increasing code coverage to 85%.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single sign-on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a multi-tenant environment, enhancing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projects ensuring adherence to security best practices compliant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define acceptance criteria and testing protocols for web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real-time data ingestion tool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process vast datasets, emphasizing data accuracy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and best practices through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documentation and resource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project scope and timelines in collaboration with stakeholders, allowing for scope adjustments and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the Scrum process for iterative development and effective project tracking, contributing to continuous improvement and delivery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