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high-impact software solutions, leveraging extensive expertise in database management and cloud technologies. Committed to enhancing data integrity, optimization, and scalability while collaborating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Ruby, JavaScript, TypeScript,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Spring Boot,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Wasabi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cloud-based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Wasabi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secure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and GraphQL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interaction between backend services and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management, optimizing queries and improving data retrieval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environment consistency for development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component design to deployment, ensuring responsive design principles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latency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applied best practices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to maintain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performance tuning and troubleshooting,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95% and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extract insights quickly from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continuous feedback from users to iterate on database features and functionality, leading to improved user satisfaction and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cloud architecture, database design, and agile methodologies,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application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system reliability and decreased downtime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data-driven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analytics requirements, enhancing data processing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unstructured data storage solutions, resulting in a 50% improvement in retrieval speed for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testing, leading to a 30% reduction in integration errors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mechanisms, improving application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refining sprint goals while ensuring stakeholder engagement and feedback were prioritized.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legacy systems to implement API solutions that reduced existing system footprint and operational costs while increasing data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 authentication modules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and data integrity across user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Capistrano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workflow efficiency by minimizing manual errors and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significantly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test coverage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for production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root causes swiftly and accurately.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