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specializing in frontend technologies and a strong foundation in backend systems. Proven ability to contribute to high-stakes projects that enhance digital security through integrating user-centric design principles with robust coding practices. Eager to leverage expertise in modern JavaScript frameworks and Python to transition into a full-stack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htmx,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Django, PostgreSQL,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insurance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improvement in user engagement through rapid iteration and user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client-server communication, optimizing backend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streamlining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high-fidelity wireframes into responsive applications, ensuring accessibility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W3C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test-driven development (TDD)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distill project requirements, translating business needs into technical specifications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systems to modern architectures, enhancing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development processes and project frameworks, increasing team onboarding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that resulted in a 35% decrease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system design discussions, leveraging knowledge in both frontend and backend technologies to propose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 on-call system management protocol, achieving high incident resolution rates and maintaining production uptime above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methods, securing user data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phases of software development adhered to deadlines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system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determine project parameters and deliverables, consistently exceeding customer expectations through active engagement and advanced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reducing client processing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design and management to support high availability and performance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for third-party service communication, expanding the application's functionality and customer offering, which boosted user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collaborative development workflows and minimizing code conflicts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 data representations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data insights and analysis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in rapid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services that protected sensitive user information and ensured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redesign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solutions that adhered to software development best practices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Concatenated data from various sources to improve operational processes and maximize efficiency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ongoing updates throughout the project lifecycle, thereby increasing transparency and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several prototype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interaction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to expedite project timelines, leading daily stand-ups that improved team communication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measures, ensuring compliance with company policies through the implementation of best practices in code quality and application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