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extensive experience in developing and enhancing web applications, predominantly utilizing WordPress internals and modern microservice architectures. Proficient in building scalable, high-quality backend solutions while collaborating with cross-functional teams to drive product innovation. Adept in implementing data-driven strategies and leveraging AI tools to enhance user engagement and functional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React, HTML, CSS, Node.js, Python,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Gutenberg, WooCommerce, Drupal, Magento,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CircleCI,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Structures &amp; Algorithms: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Structures, Algorithms, Microservices,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New Relic, Logstash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enhancements to WordPress internals focusing on extending taxonomies and optimizing queries, ensuring applications were scalable and efficient in working with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10% improvement in load times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build features for high-traffic sites, ensuring seamless integration with existing systems and maintaining exceptional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implemented dynamic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production bugs and improved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training materials for the team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version control best practices, enhancing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deployments and reducing release times by 30%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sprint planning sessions, fostering collaboration that enhanced project visibility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database schemas, ensuring rapid data retrieval and integrity across all applications deployed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AI capabilities into applications, leveraging data structures and programming techniques that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support rotations to troubleshoot production issues, leading root cause analysis and resolution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API endpoints for better performance, supplemented by in-depth documentation for external developers, enabling smoother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code writing, testing, and system design, enhancing team skillfulness and production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checkout process and user experience for clients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site performance by optimizing SQL queries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faster page load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design specifications into functional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and minimizing downtime during updates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deliver web solutions aligned with business goals,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contributing critical feedback and ensuring adherence to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 and user engagement, researching and selecting appropriate tools for each respective task.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dynamic and user-friendly interfaces interfacing with WordPress back-end.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newer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coherence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based on client specifications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 and custom plugin development, aiding in tailored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 members to retrofit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where applicable and beneficial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user interface adaptations, optimizing screen size responsiveness protocols, ensuring a seamless experience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 system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application performance and identifying bottlenecks within the system, contributing to a 15% performance increase.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