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expertise in creating user-friendly, high-performance applications. Specialized in DeFi products and passionate about innovative financial solutions. Proven ability to collaborate across teams and contribute to open-source efforts while maintaining an eye for cutting-edge design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Timescale, Solana,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Geyser Plugin, gRPC, GitHub,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AWS ECS,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Linear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satisfaction through optimized UI/UX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animations and user interactions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and engaging user-facing features in DeFi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financial applications ensuring performance and scalability by introducing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an open-source SDK for safe financial transactions,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and improving developer engagement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API solutions, optimizing response times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Timescale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and performance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finance systems to modern stacks, improving site speed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ECS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optimization strategies, ensuring data integrity and transaction performance in high-volume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DeFi technology, fostering an open-source culture of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refining design prototypes, balancing pixel-perfect execution with functional trade-offs, and pioneering new design systems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establishing a wellness and remote working culture, optimizing team productivity via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competitive products and implemented features that improved overall application engagement by 40%, focusing on user insights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UI/UX teams to integrate feedback and iteratively improve digital interfaces while ensuring alignment with Orca’s vision for decentralized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client-centric solutions for financial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client satisfaction with improved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reliability of successful deployments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under heavy load, contributing to a 50% increase in query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identify user needs and crafted custom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impacting the product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feedback, and ensuring alignment with industry standards and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financial services supporting robust transaction handling, integrating features seamlessly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observability and ensuring system reliability during high-traffic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agile development process including sprint planning, retrospectives, and iterative reflection to maximize team output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cloud-native identity and access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React applications, focusing on accessibility and responsiveness to better serve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front-end features, collaborating effectively within cross-functional teams to meet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collaborative meetings, emphasizing coding standards and continuous integration practices to enhance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AWS, improving application deployment times and reducing rollback incidents on critical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comprehensive technical documentation for application interfaces, APIs, and systems architecture ensuring clarity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developers, encouraging skill development and fostering a knowledgeable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to facilitate the development of tailored software solutions, showcasing innovative thinking and problem-solving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