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developing scalable financial systems and leading complex software initiatives. Possess strong expertise in modern web technologies, cloud infrastructure, and AI-driven solutions. Known for building intuitive user interfaces and optimizing backend architectures to enhance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Node.js, Express, TypeORM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Linear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React Query, GraphQL,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multi-faceted financial reporting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visualization and access to critical financial metrics for over 10,000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create a payment processing feature, implementing secure transaction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an auto-scaling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 while increasing system reliability during peak usages.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times, leading to a 50% performance improvement for API responses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the product vision and roadmap for our AI-driven bookkeeping software, applying agile methodologies and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Linear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that reduced lead time to production from weeks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cutting-edge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automate customer inquiries, resulting in a 30% drop in handling time for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code reviews, mentoring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user interfaces, leading to a user satisfaction score of 95% post-launch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researched new frameworks and tools (including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optimize development workflows and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software design patterns, emphasizing their importance in creating scalable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APIs adhering to RESTful principles, enabling smooth integration with frontend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benchmarks and implemented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debugging efficiency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gather user feedback post-deployment, using insights to iterate on product features that directly addressed customer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client-focused financial app,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support rapid growth and user base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and maintained existing ones, ensuring optimal performance and security compliance with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user experience team to redesign core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experience, leading to a notable increase in user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security and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infrastructure changes, reducing setup times and improving environment stability for continuous integration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focusing on scalability and maintainability while fostering a culture of knowledge sharing and best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understand their needs, translating requirements into robust technical solutions that improved client satisfaction rates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bug tracking and resolution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Linear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response times and facilitating smoother project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cloud-based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client-facing components from scratch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deliver features faster and more reliably.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Team-member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retrieval mechanisms, enhancing API efficiency and reducing data payload sizes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payment APIs, ensuring compliance with financial regulations and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efforts that ensured 100% code coverage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maintained clear communication with stakeholders to iterate on product enhancements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professional development activities focused on evolving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learning and innovation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sessions, focusing on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microservices architecture, promoting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