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applications, leveraging modern frameworks and technologies to deliver industry-leading solutions. Adept at collaborating with cross-functional teams to drive software innovation while ensuring alignment with business objectives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delivery speed by 30% and improving user engagement through intuitive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enabling the system to support a 50% increase in user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and scalability,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and improving overall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web services to expose key functionalities of enterprise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of junior engineers, fostering best practices in coding standards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leading to a 40% reduction in production bugs through rigorous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application interface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ensured cross-browser compatibility, receiving positive feedback from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improving operational visibility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new features and applications, ensuring clarity and ease of understanding for onboarding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fetching strategies that improved application performance and reduced unnecessary data load, thus leading to faster rendering on client-side.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deliver high-quality software solutions that aligned with the organizational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(sprint planning, retrospectives) to ensure team cohesiveness and effective backlog management, enhancing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knowledge sharing sessions to promote the adoption of new technologies and development practices across the engineering teams, lifting overall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business operations and enhance data visualization features for clients, achieving improved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architecture of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Storage Queues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processing workflows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for various application components,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 and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continuous integration strategy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ability to deliver features with higher frequency and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Revamped legacy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front-end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and improved overall UI/UX, leading to a 25%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implement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regression test suite, allowing for faster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JVM languages, especially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code readability and expedite application development time, while maintaining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the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project tracking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various stages of software development life cycle (SDLC) for multiple projects in diverse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SQL, ensuring alignment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across web applications within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and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testing coverage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project wikis to foster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facilitate the sharing of knowledge on effective coding practices and problem-solving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functionalities, ensuring successful data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improved performance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team retrospectives and sprint planning sessions, fostering a transparent team culture and continuous improvement mindset.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