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building robust applications using cutting-edge technologies and frameworks. Proven track record in delivering high-impact IT solutions within diverse industries, emphasizing code quality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Spring Boot, .NET Core,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high-performing team in the architecture and development of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providing seamless integration with front-end applications, achieving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implementing EC2 for computing power and S3 for storage, improving application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speeding up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across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performance for data-driven applications, resulting in a faster response to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 setting to define project scopes and deliverables, fostering a high-efficiency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ASP.NET development, enhancing team capabilities and fostering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enabling modern development practices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applications, streamlining data retrieval processes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test coverage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ensuring high availability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for high-traffic applications, leading to a significant decrease in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environments, promoting consistency across different stages of the SDLC.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deliver iterative applications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software solutions, ensuring all team members were aligned on functionalities and scope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critical bugs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cloud-native environment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scalability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 identity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Rails, which streamlined user authentication processes with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polished user interface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continuously improve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contributed to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enabling third-party integrations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preparation and management of project technical documentation, ensuring clarity in communication and project delivery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application architecture within established frameworks, while embracing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project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