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in IT consulting and development, specializing in building scalable applications using modern frameworks and cloud technologies. Demonstrated ability to lead projects from conception to deployment, aligning technical solutions with business objectives while mentoring junior developers to enhance team performance. Proven track record in delivering robust software solutions and leveraging multiple technologies to optimize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by 30% through optimized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RESTful API development in a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which improved system integration and inter-service communication within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junior developers, guiding them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client-side applications, resulting in a 25% increase in code quality as measured by unit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scalability and reliability while cutting costs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design and refine product roadmaps, enhancing project visibility and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post-deployment bugs by 50%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for performance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analytics that informed operational decisions and improved uptime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at quarterly tech demo sessions on new technologies, including the implementation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application development life cycle by introducing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best practices, enhancing version control and collaboration efficacy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data pipeline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successfully handling millions of transactions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open-source tools to enhance development practices, including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scripting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boosting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on-premise infrastructure to a cloud-native architecture, improving disaster recovery processes and enabling geographic redundancy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QA teams to utilize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strategies, increasing overall deployment supportability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application performance tuning leveraging profiling tools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application response times after refactor.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experiences and compliance with best UX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for deploying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estimations and system design that enhanced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technical documentation and user guides to support operational teams in understanding newly deployed technologies, focusing on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extended test coverage to 90% and improved software reliability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optimized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large-scale applications, focusing on performance tuning and query optimization to enhance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gather requirements for new features, translating client needs into technical specifications for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maintaining documentation, which facilitated effective communication among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custom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seamless integration with existing systems, accommodating evolving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applications to cloud platforms, focusing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cost-effective scalability and service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development of internal API services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interactions between client applications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UI/UX designers to implement responsive web designs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user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coding standards to ensure quality deliverables and adherence to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legacy systems, ensuring ongoing system reliability while planning for future upgrades to modern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