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extensive expertise in .NET and Angular, focusing on creating innovative solutions for high-profile clients. Proven track record of utilizing cutting-edge technologies to deliver robust public-facing applications that meet business needs and enhance user experience. Dedicated to collaboration and knowledge sharing within agile teams, ensuring alignment with organizational goals and project timelines.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Sitecore, Episerver,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Selenium, jasmine,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high-traffic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processing speed by 30% through optimized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management and retrieval, improving data access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that adhere to industry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accessibility compliance (WCAG 2.1).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and scaling of applications across multiple environments, resulting in a 50%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promoting best practices in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 (CI/CD), reducing integration cycles by 40% and increasing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regression bugs by 15% during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them into technical specifications, ensuring that projects align with their business objectives and technical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documentation for system architecture and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Scrum meetings to coordinate with cross-functional teams, facilitating effective communication and project management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through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application responsiveness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technical direction of projects, advising on technology choices that align with evolving industry standards in web development and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content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Episerver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website maintainability and scalability for diverse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workshops on modern web technologies for internal team development,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multiple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engagement metrics by 35% through improved UI/UX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and compliance with PCI standards, resulting in zero data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optimization tasks for SQL Server databases, leading to a 20% performance improvement in data query responses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teams in adopting Agile methodologies,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project delivery efficiency and adapt to changing client requirements quicky.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legacy system migrations to newer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functionality and user experience without disruption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debugging of applications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profiling techniques, achieving a 30% increase in application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marketing teams to implement analytics and tracking scripts into web applications, enhancing user experience assessment and campaign performance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and compliance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streamlining workflows and automating repetitive tasks, saving an estimated 15 man-hours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projects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blogs, enhancing team communication and content sharing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ensure that delivered solutions met client expectations, providing feedback and resolutions on identified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