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specializing in High-Performance Computing (HPC) infrastructure and tools and services for Autonomous Vehicle development. Proven expertise in distributed systems, algorithmic job scheduling, and cloud scaling with a strong focus on Python programming and the Ray.io ecosystem.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Distributed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Ray.io, Kubernetes, SLURM,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Apache Kafka,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custom HPC infrastructure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Ray.io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computational efficiencies for autonomous vehicle simulations and AI training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production-grade web service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integrations for various software teams and enhancing overall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distributed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scaling of microservices, significantly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SLURM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job scheduling across the HPC environment which increased the effective use of resources by 40%, optimizing workload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evaluate and integrate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Ray.io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capabilities, providing efficient data processing and task scheduling for AI model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metrics monitoring and performance visualization, enabling proactive infrastructure management and response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system reliability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optimization of existing workloads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increase in processing speed for training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documentation and best practices for the use of HPC frameworks, ensuring all team members were aligned with development protocols and state-of-the-art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solutions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troubleshooting capabilities and reducing the average time to resolution for 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training initiatives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developers, fostering a culture of continuous improvement and skill enhancement across software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data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streams, significantly augmenting data ingestion speeds for analytics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all code deployed to production met rigorous quality standards before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sessions for compute scaling strategy, providing technical insights that shaped organizational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cloud-native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scalable solutions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infrastructure as code (IaC)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environment setup and reducing configuration-related errors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optimizing data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50% reduction in processing time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Experienced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DevOps for managing CI/CD tools and maintaining deployment workflows, streamlining project management across various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enhancing client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security standards in data exchange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Fostering agile development practices to improve team collaboration and project management efficiency, directly impacting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software projects, ensuring integrity and history of codebases remained intact.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integrations for client applications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and management of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portability and reducing environmental inconsistencies in different stages of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robust testing culture ensuring code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Python development for automation scripts, enhancing operational efficiencies within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optimization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query performance and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team discussions and retrospectives, providing insights aimed at improving project methodologies and technical implementations.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