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designing and developing scalable software solutions. Skilled in front-end and back-end technologies, with a strong focus on improving system performance and user experiences. Passionate about developing sustainable energy solutions, leveraging technical expertise to contribute to the evolution of clean transportation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GraphQL,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 applications, improving deployment scalability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30% through effective state management and lazy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deployment time by 50% and boosting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legacy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serverless architecture to optimize cost and efficiency, which decreased operational expenses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ensuring optimal database design and performance tuning that improved query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 in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delivery of high-quality software solutions aligned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data retrieval speeds by implementing effective caching strategies and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coverage and reliability, achieving a 99% success rate in production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development,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serialization and improved inter-service communication efficacy, leading to reduced system latencies.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system performance tracking, enabling proactive management of server health and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refine user interfaces and enhance application usability, leading to a significant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onboarding and mentoring sessions for new engineers on company tools and processes to establish a strong team foundation and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compliant with accessibility standards, ensuring a seamless experience for all users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enhancing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page responsiveness and user engagement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in multiple projects, implementing backup and recovery procedures that enhanced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30% by optimizing backend logic and refining database queries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isolated application environments, streamlining the deployment process across environments and reducing configuration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frontend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facilitating effective communication between the client and server sides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continuous integration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testing and deployment protocols that markedly improved deployment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system assessments for vulnerability and performance, leading to enhancements that improved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teams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fostering a transparent and collaborative project tracking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software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clients, improving user authentication processes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system functionalities further, increasing the development team's confidence in new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develop user-facing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increases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backend processes by engaging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successfully expanding the application's service capabilities by integrating external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storage and retrieval processes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troubleshooting software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which significantly expedited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to align development tasks with project goals, ensuring adherence to timelines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application deployment processes and user guides to streamline onboarding for new clients and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