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experience in delivering cutting-edge software solutions across various domains including IT consulting. Proven track record of leveraging innovative technologies and methodologies to optimize performance and enhance user experiences. Adept at collaborating with cross-functional teams to drive project success while ensuring quality and timely delivery of software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ASP.NET,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Agile, Scrum,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IBM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TypeScript, Microservices, APIs,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response times and optimized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cutting-edge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deployments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and leading to increased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external systems and improving the efficiency of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code quality and minimizing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code reviews, fostering a culture of continuous improvement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applications, optimizing database performance and enabling effective data retrieval strategies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high-performance backend services, improving system response time by 25%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system insight and troubleshooting,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reviews and contributed to system design discussions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overall application structure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code management and collaboration across distributed teams, streamlining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optimization initiatives on existing applications using profiling tools and techniques, achieving significant resource savings and improved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architect data-driven solutions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data accessibility and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technical visibility and demonstrating commitment to community-driven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enterprise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business functionality through improved software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improved user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projects and adherence to customer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communication between front-end and back-end systems, ensuring seamless data exchange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analyze requirements and design system architectures that effectively meet customer needs, with a strong focus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crafting complex queries and optimizing database performance to support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testing, ensuring high-quality software releases with minimal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agile process to refine user stories and improve overall project transparency and effectiveness during sprint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performance reliability for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solutions and APIs to enhance existing functionality and extend product capabilities, contributing to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presentations to detail system capabilities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stakeholders in understanding product benefits.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robust testing practices and reducing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troubleshooting of applications to enhance responsiveness and minimize downtime across key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requirements and expectations, ensuring software solutions were aligned with user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documentation and user manuals for newly implemented software features, supporting user adoption and satisfaction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by optimizing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refactoring code to improve maintainability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