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enhancing logistics and warehouse management systems. Proven expertise in full-stack development, cloud technologies, and delivering innovative software solutions in fast-paced environments. Highly proficient in collaborating cross-functionally to drive impactful projects in the logistics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Serverless,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WebSockets, React Native,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logistics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for high-traffic environments, achieving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components that integrate seamlessly with backend services, improving user engagement on mobile and desktop platforms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and refine product requirements and deliver high-quality software on tight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detailed code reviews, leveraging software design patterns to elevate code quality and reduce bugs by 20% through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deployment, resulting in a 50% faster release cycle for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adherence to best practices in code efficiency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logistics APIs to facilitate real-time data exchange,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software applications that adhere to data governance standards, improving data handler compliance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sorting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enhance the logistics chain, optimizing sorting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design teams to ensure alignment with user experience principles, improving user satisfaction ratings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implemented security measures in cloud deployments to address vulnerabilities, successfully passing external audits without major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capabilities with logistics partners and reducing external API call failures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meetings to update backlog items and sprint planning, ensuring tasks aligned with stakeholder expectations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revamping UI/UX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usability metrics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quality in high-traffic production environments before deployments, reducing post-launch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identify operational pain points and deliver software solutions that increased delivery accuracies by implementing effective tracking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migrating legacy systems to cloud-native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decreased infrastructure costs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warehouses to automate inventory tracking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enhancing operational efficiency during peak hours.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company coding standards and methodologies, creating a knowledge base that improved onboarding time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deployment in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logistics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operational data, increasing KPIs tracking functionalities for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and performance optimization of existing applications, utilizing profiling tools to identify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ensuring compliance with industry standards and improving security posture through regular audits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key metrics and reporting needs, allowing for enhanced decision-making in logistics operations through effective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logistics tracking, achieving a user base growth of 15% in one quarter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of over 90% for critical application paths, ensuring robust performance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strategy sessions to refine product roadmaps, emphasizing technology trends in logistics that align with customer needs and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