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a proven track record of delivering innovative software solutions. Adept in various programming languages and frameworks, with extensive experience in IT consulting. Passionate about leveraging technical expertise to drive efficiency and enhance organizational performance. Experienced in collaborating with cross-functional teams to achieve project goals in diverse industries, including security, healthcare, and enterprise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Flask, ASP.NET,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and ensuring high performance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speed increase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complex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data retrieval performance by 25% for critical reporting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and reduce server load during peak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best practices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reduction in code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cloud-native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 and delivered proof-of-concept projects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Apollo Client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fetching from APIs and improving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testing, increasing test coverage to 85% and ensuring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performance bottlenecks in large-scale systems, employing profilers and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driving sprint planning and retrospective meetings, while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mentoring and support to junior developers in sound development practices and technologies such as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multi-platform mobile application development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consistent user experience across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high quality and maintainable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70% code coverage and significantly reducing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UX designers to define user stories and technical specifications, enabling effective feature development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profiling and load testing tools, resulting in a 20% decrease in page load times and improved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on-premises applications to cloud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Employing Agile methodologies, participated in daily stand-ups and sprint retrospectives to foster clear communication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guided team members on using modern libraries and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development practices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Amended legacy codebase to follow modern software development standards using best practices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maintenance costs by 15%.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industry standards for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logic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 interactivity and responsiveness within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transform them into technical specifications while utilizing tools like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workflow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to ensure maintainability and adherence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flexibility and scalability for dynamic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data migration processes for clients, ensuring seamless transitions with minimal business disruption while utilizing tools such as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contributing to designs that optimize for performance and maintainability in services deployed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security through rigorous testing and application of OWASP guidelines, reducing vulnerabilities across deployed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